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Times New Roman" w:cs="Times New Roman" w:eastAsia="Times New Roman" w:hAnsi="Times New Roman"/>
          <w:b/>
          <w:bCs/>
          <w:color w:val="1A365D"/>
          <w:sz w:val="30"/>
          <w:szCs w:val="30"/>
        </w:rPr>
        <w:t xml:space="preserve">MESAFELİ SATIŞ SÖZLEŞMESİ</w:t>
      </w:r>
    </w:p>
    <w:p>
      <w:pPr>
        <w:spacing w:after="160"/>
        <w:jc w:val="center"/>
      </w:pPr>
      <w:r>
        <w:rPr>
          <w:rFonts w:ascii="Times New Roman" w:cs="Times New Roman" w:eastAsia="Times New Roman" w:hAnsi="Times New Roman"/>
          <w:i/>
          <w:iCs/>
          <w:color w:val="718096"/>
          <w:sz w:val="17"/>
          <w:szCs w:val="17"/>
        </w:rPr>
        <w:t xml:space="preserve">(İnternet / telefon / katalog üzerinden satışlar için şablon)</w:t>
      </w:r>
    </w:p>
    <w:p>
      <w:pPr>
        <w:spacing w:after="100" w:before="220"/>
      </w:pPr>
      <w:r>
        <w:rPr>
          <w:rFonts w:ascii="Times New Roman" w:cs="Times New Roman" w:eastAsia="Times New Roman" w:hAnsi="Times New Roman"/>
          <w:b/>
          <w:bCs/>
          <w:color w:val="1A365D"/>
          <w:sz w:val="22"/>
          <w:szCs w:val="22"/>
        </w:rPr>
        <w:t xml:space="preserve">MADDE 1 – TARAFLAR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İşbu Mesafeli Satış Sözleşmesi (“Sözleşme”), aşağıda bilgileri yer alan Satıcı ile Alıcı (Tüketici) arasında, elektronik ortamda / mesafeli iletişim araçlarıyla kurulmuştur.</w:t>
      </w:r>
    </w:p>
    <w:p>
      <w:pPr>
        <w:spacing w:after="60"/>
      </w:pPr>
    </w:p>
    <w:p>
      <w:pPr>
        <w:spacing w:after="50" w:before="0"/>
        <w:jc w:val="both"/>
      </w:pPr>
      <w:r>
        <w:rPr>
          <w:rFonts w:ascii="Times New Roman" w:cs="Times New Roman" w:eastAsia="Times New Roman" w:hAnsi="Times New Roman"/>
          <w:b/>
          <w:bCs/>
          <w:i w:val="false"/>
          <w:iCs w:val="false"/>
          <w:color w:val="1A202C"/>
          <w:sz w:val="20"/>
          <w:szCs w:val="20"/>
        </w:rPr>
        <w:t xml:space="preserve">1.1. SATICI</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Unvan / Ad Soyad: .................................................................</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Adres: .........................................................................................</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MERSİS / Vergi No: .........................................................................</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Telefon: ..............................  E-posta: ..............................................</w:t>
      </w:r>
    </w:p>
    <w:p>
      <w:pPr>
        <w:spacing w:after="80" w:before="0"/>
        <w:jc w:val="both"/>
      </w:pPr>
      <w:r>
        <w:rPr>
          <w:rFonts w:ascii="Times New Roman" w:cs="Times New Roman" w:eastAsia="Times New Roman" w:hAnsi="Times New Roman"/>
          <w:b w:val="false"/>
          <w:bCs w:val="false"/>
          <w:i w:val="false"/>
          <w:iCs w:val="false"/>
          <w:color w:val="1A202C"/>
          <w:sz w:val="20"/>
          <w:szCs w:val="20"/>
        </w:rPr>
        <w:t xml:space="preserve">KEP (varsa): ...............................................................................</w:t>
      </w:r>
    </w:p>
    <w:p>
      <w:pPr>
        <w:spacing w:after="50" w:before="0"/>
        <w:jc w:val="both"/>
      </w:pPr>
      <w:r>
        <w:rPr>
          <w:rFonts w:ascii="Times New Roman" w:cs="Times New Roman" w:eastAsia="Times New Roman" w:hAnsi="Times New Roman"/>
          <w:b/>
          <w:bCs/>
          <w:i w:val="false"/>
          <w:iCs w:val="false"/>
          <w:color w:val="1A202C"/>
          <w:sz w:val="20"/>
          <w:szCs w:val="20"/>
        </w:rPr>
        <w:t xml:space="preserve">1.2. ALICI (TÜKETİCİ)</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Ad Soyad: ...............................................................................</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Adres: .........................................................................................</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Telefon: ..............................  E-posta: ..............................................</w:t>
      </w:r>
    </w:p>
    <w:p>
      <w:pPr>
        <w:spacing w:after="100" w:before="0"/>
        <w:jc w:val="both"/>
      </w:pPr>
      <w:r>
        <w:rPr>
          <w:rFonts w:ascii="Times New Roman" w:cs="Times New Roman" w:eastAsia="Times New Roman" w:hAnsi="Times New Roman"/>
          <w:b w:val="false"/>
          <w:bCs w:val="false"/>
          <w:i/>
          <w:iCs/>
          <w:color w:val="1A202C"/>
          <w:sz w:val="20"/>
          <w:szCs w:val="20"/>
        </w:rPr>
        <w:t xml:space="preserve">Sipariş sırasında beyan edilen teslimat ve fatura bilgileri esas alınır.</w:t>
      </w:r>
    </w:p>
    <w:p>
      <w:pPr>
        <w:spacing w:after="100" w:before="220"/>
      </w:pPr>
      <w:r>
        <w:rPr>
          <w:rFonts w:ascii="Times New Roman" w:cs="Times New Roman" w:eastAsia="Times New Roman" w:hAnsi="Times New Roman"/>
          <w:b/>
          <w:bCs/>
          <w:color w:val="1A365D"/>
          <w:sz w:val="22"/>
          <w:szCs w:val="22"/>
        </w:rPr>
        <w:t xml:space="preserve">MADDE 2 – SÖZLEŞMENİN KONUSU</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Sözleşme’nin konusu; Alıcı’nın Satıcı’ya ait [www.orneksite.com] internet sitesi / mobil uygulama / diğer mesafeli satış kanalı üzerinden elektronik ortamda siparişini verdiği, aşağıda nitelikleri ve satış fiyatı belirtilen mal/hizmetin satışı ve teslimidir.</w:t>
      </w:r>
    </w:p>
    <w:p>
      <w:pPr>
        <w:spacing w:after="60"/>
      </w:pP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Mal / hizmetin adı, adedi, KDV dahil toplam fiyatı ve varsa teslimat ücreti sipariş özetinde / faturada gösterildiği gibidir. Ön bilgilendirme formunda yer alan hususlar da sözleşmenin ayrılmaz parçasıdır.</w:t>
      </w:r>
    </w:p>
    <w:p>
      <w:pPr>
        <w:spacing w:after="100" w:before="220"/>
      </w:pPr>
      <w:r>
        <w:rPr>
          <w:rFonts w:ascii="Times New Roman" w:cs="Times New Roman" w:eastAsia="Times New Roman" w:hAnsi="Times New Roman"/>
          <w:b/>
          <w:bCs/>
          <w:color w:val="1A365D"/>
          <w:sz w:val="22"/>
          <w:szCs w:val="22"/>
        </w:rPr>
        <w:t xml:space="preserve">MADDE 3 – SÖZLEŞME BEDELİ VE ÖDEME</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3.1. Ürün/hizmet bedeli, vergiler ve varsa kargo/teslimat ücreti sipariş anında Alıcı’ya gösterilir.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3.2. Ödeme yöntemleri: Kredi/banka kartı, havale/EFT, kapıda ödeme (varsa) ve sitede sunulan diğer yöntemler.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3.3. Kartla ödemelerde işlem, ilgili banka / ödeme kuruluşu güvenli altyapısı üzerinden gerçekleşir.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3.4. Havale/EFT’de ödemenin Satıcı hesabına geçmesi sonrası sipariş işleme alınır; süre sipariş onayında belirtilir.</w:t>
      </w:r>
    </w:p>
    <w:p>
      <w:pPr>
        <w:spacing w:after="100" w:before="220"/>
      </w:pPr>
      <w:r>
        <w:rPr>
          <w:rFonts w:ascii="Times New Roman" w:cs="Times New Roman" w:eastAsia="Times New Roman" w:hAnsi="Times New Roman"/>
          <w:b/>
          <w:bCs/>
          <w:color w:val="1A365D"/>
          <w:sz w:val="22"/>
          <w:szCs w:val="22"/>
        </w:rPr>
        <w:t xml:space="preserve">MADDE 4 – TESLİMAT</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4.1. Teslimat, Alıcı’nın siparişte bildirdiği adrese, anlaşmalı kargo / lojistik firması ile yapılır.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4.2. Taahhüt edilen azami teslim süresi: sipariş / stok durumuna göre ........ iş günü (ön bilgilendirmede belirtilen süre esas alınır; yasal azami süreye uyulur).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4.3. Teslimatta imza / teslim kaydı, malın teslim edildiğine karinedir. Hasarlı paketlerde tutanak tutulması önerilir.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4.4. Alıcı’nın adreste bulunmaması, yanlış/eksik adres vermesi nedeniyle teslim edilemeyen siparişlerde sorumluluk Alıcı’ya aittir; ek kargo ücreti doğabilir.</w:t>
      </w:r>
    </w:p>
    <w:p>
      <w:pPr>
        <w:spacing w:after="100" w:before="220"/>
      </w:pPr>
      <w:r>
        <w:rPr>
          <w:rFonts w:ascii="Times New Roman" w:cs="Times New Roman" w:eastAsia="Times New Roman" w:hAnsi="Times New Roman"/>
          <w:b/>
          <w:bCs/>
          <w:color w:val="1A365D"/>
          <w:sz w:val="22"/>
          <w:szCs w:val="22"/>
        </w:rPr>
        <w:t xml:space="preserve">MADDE 5 – ÖN BİLGİLENDİRME</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Alıcı, siparişi onaylamadan önce; satıcı kimliği, mal/hizmet temel nitelikleri, toplam bedel, ödeme ve teslimat koşulları, cayma hakkı, şikâyet ve başvuru yolları hakkında bilgilendirildiğini; bu bilgilendirmeyi okuyup kabul ettiğini beyan eder. Ön bilgilendirme formu sözleşme eki niteliğindedir.</w:t>
      </w:r>
    </w:p>
    <w:p>
      <w:pPr>
        <w:spacing w:after="100" w:before="220"/>
      </w:pPr>
      <w:r>
        <w:rPr>
          <w:rFonts w:ascii="Times New Roman" w:cs="Times New Roman" w:eastAsia="Times New Roman" w:hAnsi="Times New Roman"/>
          <w:b/>
          <w:bCs/>
          <w:color w:val="1A365D"/>
          <w:sz w:val="22"/>
          <w:szCs w:val="22"/>
        </w:rPr>
        <w:t xml:space="preserve">MADDE 6 – CAYMA HAKKI</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6.1. Alıcı (tüketici); mal tesliminden itibaren 14 (on dört) gün içinde, herhangi bir gerekçe göstermeksizin ve cezai şart ödemeksizin sözleşmeden cayma hakkına sahiptir. Hizmet sözleşmelerinde süre, sözleşmenin kurulmasından itibaren işler.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6.2. Cayma hakkının kullanıldığına dair bildirimin bu süre içinde Satıcı’ya yöneltilmiş olması yeterlidir.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6.3. Cayma bildirimi: [e-posta / üyelik paneli / yazılı bildirim adresi] üzerinden yapılabilir.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6.4. Cayma halinde Satıcı, bildirimin ulaşmasından itibaren 14 gün içinde bedeli, Alıcı’nın ödediği şekilde iade eder. Malın iadesi Alıcı tarafından, cayma bildiriminin yapılmasından itibaren 14 gün içinde Satıcı’ya veya yetkilendirdiği kişiye gönderilir; iade kargo ücreti mevzuata ve ön bilgilendirmeye göre belirlenir.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6.5. Cayma hakkı kullanılamayacak haller (örnek – ilgili yönetmelik hükümleri saklıdır):</w:t>
      </w:r>
    </w:p>
    <w:p>
      <w:pPr>
        <w:spacing w:after="40" w:before="0"/>
        <w:jc w:val="both"/>
      </w:pPr>
      <w:r>
        <w:rPr>
          <w:rFonts w:ascii="Times New Roman" w:cs="Times New Roman" w:eastAsia="Times New Roman" w:hAnsi="Times New Roman"/>
          <w:b w:val="false"/>
          <w:bCs w:val="false"/>
          <w:i w:val="false"/>
          <w:iCs w:val="false"/>
          <w:color w:val="1A202C"/>
          <w:sz w:val="20"/>
          <w:szCs w:val="20"/>
        </w:rPr>
        <w:t xml:space="preserve">a) Alıcı’nın istekleri veya kişisel ihtiyaçları doğrultusunda hazırlanan mallar;</w:t>
      </w:r>
    </w:p>
    <w:p>
      <w:pPr>
        <w:spacing w:after="40" w:before="0"/>
        <w:jc w:val="both"/>
      </w:pPr>
      <w:r>
        <w:rPr>
          <w:rFonts w:ascii="Times New Roman" w:cs="Times New Roman" w:eastAsia="Times New Roman" w:hAnsi="Times New Roman"/>
          <w:b w:val="false"/>
          <w:bCs w:val="false"/>
          <w:i w:val="false"/>
          <w:iCs w:val="false"/>
          <w:color w:val="1A202C"/>
          <w:sz w:val="20"/>
          <w:szCs w:val="20"/>
        </w:rPr>
        <w:t xml:space="preserve">b) Çabuk bozulabilen veya son kullanma tarihi geçebilecek mallar;</w:t>
      </w:r>
    </w:p>
    <w:p>
      <w:pPr>
        <w:spacing w:after="40" w:before="0"/>
        <w:jc w:val="both"/>
      </w:pPr>
      <w:r>
        <w:rPr>
          <w:rFonts w:ascii="Times New Roman" w:cs="Times New Roman" w:eastAsia="Times New Roman" w:hAnsi="Times New Roman"/>
          <w:b w:val="false"/>
          <w:bCs w:val="false"/>
          <w:i w:val="false"/>
          <w:iCs w:val="false"/>
          <w:color w:val="1A202C"/>
          <w:sz w:val="20"/>
          <w:szCs w:val="20"/>
        </w:rPr>
        <w:t xml:space="preserve">c) Teslimden sonra ambalajı açılmış; sağlık/hijyen açısından iadesi uygun olmayan mallar;</w:t>
      </w:r>
    </w:p>
    <w:p>
      <w:pPr>
        <w:spacing w:after="40" w:before="0"/>
        <w:jc w:val="both"/>
      </w:pPr>
      <w:r>
        <w:rPr>
          <w:rFonts w:ascii="Times New Roman" w:cs="Times New Roman" w:eastAsia="Times New Roman" w:hAnsi="Times New Roman"/>
          <w:b w:val="false"/>
          <w:bCs w:val="false"/>
          <w:i w:val="false"/>
          <w:iCs w:val="false"/>
          <w:color w:val="1A202C"/>
          <w:sz w:val="20"/>
          <w:szCs w:val="20"/>
        </w:rPr>
        <w:t xml:space="preserve">d) Teslimden sonra başka ürünlerle karışan ve doğası gereği ayrıştırılması mümkün olmayan mallar;</w:t>
      </w:r>
    </w:p>
    <w:p>
      <w:pPr>
        <w:spacing w:after="40" w:before="0"/>
        <w:jc w:val="both"/>
      </w:pPr>
      <w:r>
        <w:rPr>
          <w:rFonts w:ascii="Times New Roman" w:cs="Times New Roman" w:eastAsia="Times New Roman" w:hAnsi="Times New Roman"/>
          <w:b w:val="false"/>
          <w:bCs w:val="false"/>
          <w:i w:val="false"/>
          <w:iCs w:val="false"/>
          <w:color w:val="1A202C"/>
          <w:sz w:val="20"/>
          <w:szCs w:val="20"/>
        </w:rPr>
        <w:t xml:space="preserve">e) Gazete, dergi gibi süreli yayınlar (abonelik sözleşmeleri hariç);</w:t>
      </w:r>
    </w:p>
    <w:p>
      <w:pPr>
        <w:spacing w:after="40" w:before="0"/>
        <w:jc w:val="both"/>
      </w:pPr>
      <w:r>
        <w:rPr>
          <w:rFonts w:ascii="Times New Roman" w:cs="Times New Roman" w:eastAsia="Times New Roman" w:hAnsi="Times New Roman"/>
          <w:b w:val="false"/>
          <w:bCs w:val="false"/>
          <w:i w:val="false"/>
          <w:iCs w:val="false"/>
          <w:color w:val="1A202C"/>
          <w:sz w:val="20"/>
          <w:szCs w:val="20"/>
        </w:rPr>
        <w:t xml:space="preserve">f) Elektronik ortamda anında ifa edilen hizmetler veya tüketiciye anında teslim edilen gayrimaddi mallar (cayma hakkının sona erdiğinin bilgilendirildiği ve onaylandığı hallerde);</w:t>
      </w:r>
    </w:p>
    <w:p>
      <w:pPr>
        <w:spacing w:after="80" w:before="0"/>
        <w:jc w:val="both"/>
      </w:pPr>
      <w:r>
        <w:rPr>
          <w:rFonts w:ascii="Times New Roman" w:cs="Times New Roman" w:eastAsia="Times New Roman" w:hAnsi="Times New Roman"/>
          <w:b w:val="false"/>
          <w:bCs w:val="false"/>
          <w:i w:val="false"/>
          <w:iCs w:val="false"/>
          <w:color w:val="1A202C"/>
          <w:sz w:val="20"/>
          <w:szCs w:val="20"/>
        </w:rPr>
        <w:t xml:space="preserve">g) Mevzuatta sayılan diğer istisnalar.</w:t>
      </w:r>
    </w:p>
    <w:p>
      <w:pPr>
        <w:spacing w:after="100" w:before="220"/>
      </w:pPr>
      <w:r>
        <w:rPr>
          <w:rFonts w:ascii="Times New Roman" w:cs="Times New Roman" w:eastAsia="Times New Roman" w:hAnsi="Times New Roman"/>
          <w:b/>
          <w:bCs/>
          <w:color w:val="1A365D"/>
          <w:sz w:val="22"/>
          <w:szCs w:val="22"/>
        </w:rPr>
        <w:t xml:space="preserve">MADDE 7 – BEYAN VE TAAHHÜTLER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7.1. Alıcı, sipariş sırasında verdiği bilgilerin doğru olduğunu; 18 yaşını doldurduğunu / yasal ehliyete sahip olduğunu kabul eder.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7.2. Satıcı, mal/hizmetin sipariş özetinde belirtilen niteliklere uygun, ayıpsız teslimi için özen gösterir.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7.3. Kampanya, stok ve fiyat bilgileri sipariş anındaki kayıtlara göre geçerlidir.</w:t>
      </w:r>
    </w:p>
    <w:p>
      <w:pPr>
        <w:spacing w:after="100" w:before="220"/>
      </w:pPr>
      <w:r>
        <w:rPr>
          <w:rFonts w:ascii="Times New Roman" w:cs="Times New Roman" w:eastAsia="Times New Roman" w:hAnsi="Times New Roman"/>
          <w:b/>
          <w:bCs/>
          <w:color w:val="1A365D"/>
          <w:sz w:val="22"/>
          <w:szCs w:val="22"/>
        </w:rPr>
        <w:t xml:space="preserve">MADDE 8 – AYIPLI MAL / HİZMET</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Ayıplı mal veya hizmet halinde 6502 sayılı Tüketicinin Korunması Hakkında Kanun ve ilgili yönetmelikler çerçevesinde; ücretsiz onarım, ayıpsız misli ile değiştirme, bedel iadesi veya indirim taleplerinden biri kullanılabilir. Başvuru öncelikle Satıcı’ya yapılır.</w:t>
      </w:r>
    </w:p>
    <w:p>
      <w:pPr>
        <w:spacing w:after="100" w:before="220"/>
      </w:pPr>
      <w:r>
        <w:rPr>
          <w:rFonts w:ascii="Times New Roman" w:cs="Times New Roman" w:eastAsia="Times New Roman" w:hAnsi="Times New Roman"/>
          <w:b/>
          <w:bCs/>
          <w:color w:val="1A365D"/>
          <w:sz w:val="22"/>
          <w:szCs w:val="22"/>
        </w:rPr>
        <w:t xml:space="preserve">MADDE 9 – KİŞİSEL VERİLER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Alıcı’ya ait kişisel veriler, 6698 sayılı KVKK kapsamında; sözleşmenin ifası, yasal yükümlülükler ve meşru menfaatler çerçevesinde işlenir. Aydınlatma metni [web sitesi linki / ek] üzerinden sunulur. Pazarlama iletişimi için ayrıca açık rıza alınır.</w:t>
      </w:r>
    </w:p>
    <w:p>
      <w:pPr>
        <w:spacing w:after="100" w:before="220"/>
      </w:pPr>
      <w:r>
        <w:rPr>
          <w:rFonts w:ascii="Times New Roman" w:cs="Times New Roman" w:eastAsia="Times New Roman" w:hAnsi="Times New Roman"/>
          <w:b/>
          <w:bCs/>
          <w:color w:val="1A365D"/>
          <w:sz w:val="22"/>
          <w:szCs w:val="22"/>
        </w:rPr>
        <w:t xml:space="preserve">MADDE 10 – UYUŞMAZLIKLAR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10.1. Şikâyet ve talepler için Satıcı iletişim kanalları kullanılabilir.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10.2. Tüketici uyuşmazlıklarında; yerleşim yerinin bulunduğu veya tüketici işleminin yapıldığı yerdeki Tüketici Hakem Heyetleri ile Tüketici Mahkemeleri yetkilidir.</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10.3. Ayrıca Gümrük ve Ticaret Bakanlığı’nca duyurulan parasal sınırlar dahilinde hakem heyetine başvurulabilir.</w:t>
      </w:r>
    </w:p>
    <w:p>
      <w:pPr>
        <w:spacing w:after="100" w:before="220"/>
      </w:pPr>
      <w:r>
        <w:rPr>
          <w:rFonts w:ascii="Times New Roman" w:cs="Times New Roman" w:eastAsia="Times New Roman" w:hAnsi="Times New Roman"/>
          <w:b/>
          <w:bCs/>
          <w:color w:val="1A365D"/>
          <w:sz w:val="22"/>
          <w:szCs w:val="22"/>
        </w:rPr>
        <w:t xml:space="preserve">MADDE 11 – YÜRÜRLÜK</w:t>
      </w: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Alıcı, site üzerinde siparişi onaylamak / “satın al” adımını tamamlamakla ön bilgilendirmeyi okuduğunu, cayma hakkı ve sözleşme koşullarını kabul ettiğini beyan eder. Sözleşme, siparişin onaylanması ve/veya ödemenin gerçekleşmesi ile kurulmuş sayılır.</w:t>
      </w:r>
    </w:p>
    <w:p>
      <w:pPr>
        <w:spacing w:after="60"/>
      </w:pPr>
    </w:p>
    <w:p>
      <w:pPr>
        <w:spacing w:after="100" w:before="0"/>
        <w:jc w:val="both"/>
      </w:pPr>
      <w:r>
        <w:rPr>
          <w:rFonts w:ascii="Times New Roman" w:cs="Times New Roman" w:eastAsia="Times New Roman" w:hAnsi="Times New Roman"/>
          <w:b w:val="false"/>
          <w:bCs w:val="false"/>
          <w:i w:val="false"/>
          <w:iCs w:val="false"/>
          <w:color w:val="1A202C"/>
          <w:sz w:val="20"/>
          <w:szCs w:val="20"/>
        </w:rPr>
        <w:t xml:space="preserve">Satıcı kayıtlarında tutulan elektronik loglar, sipariş ve ödeme kayıtları delil olarak kullanılabilir.</w:t>
      </w:r>
    </w:p>
    <w:p>
      <w:pPr>
        <w:spacing w:after="60"/>
      </w:pPr>
    </w:p>
    <w:p>
      <w:pPr>
        <w:spacing w:after="160" w:before="0"/>
        <w:jc w:val="both"/>
      </w:pPr>
      <w:r>
        <w:rPr>
          <w:rFonts w:ascii="Times New Roman" w:cs="Times New Roman" w:eastAsia="Times New Roman" w:hAnsi="Times New Roman"/>
          <w:b w:val="false"/>
          <w:bCs w:val="false"/>
          <w:i w:val="false"/>
          <w:iCs w:val="false"/>
          <w:color w:val="1A202C"/>
          <w:sz w:val="20"/>
          <w:szCs w:val="20"/>
        </w:rPr>
        <w:t xml:space="preserve">Düzenleme tarihi / versiyon: ....../....../..........</w:t>
      </w:r>
    </w:p>
    <w:p>
      <w:pPr>
        <w:spacing w:after="100" w:before="220"/>
      </w:pPr>
      <w:r>
        <w:rPr>
          <w:rFonts w:ascii="Times New Roman" w:cs="Times New Roman" w:eastAsia="Times New Roman" w:hAnsi="Times New Roman"/>
          <w:b/>
          <w:bCs/>
          <w:color w:val="1A365D"/>
          <w:sz w:val="22"/>
          <w:szCs w:val="22"/>
        </w:rPr>
        <w:t xml:space="preserve">SATICI İLETİŞİM (ÖZET)</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Unvan: ................................  |  Adres: ................................</w:t>
      </w:r>
    </w:p>
    <w:p>
      <w:pPr>
        <w:spacing w:after="45" w:before="0"/>
        <w:jc w:val="both"/>
      </w:pPr>
      <w:r>
        <w:rPr>
          <w:rFonts w:ascii="Times New Roman" w:cs="Times New Roman" w:eastAsia="Times New Roman" w:hAnsi="Times New Roman"/>
          <w:b w:val="false"/>
          <w:bCs w:val="false"/>
          <w:i w:val="false"/>
          <w:iCs w:val="false"/>
          <w:color w:val="1A202C"/>
          <w:sz w:val="20"/>
          <w:szCs w:val="20"/>
        </w:rPr>
        <w:t xml:space="preserve">Tel: ................................  |  E-posta: ................................</w:t>
      </w:r>
    </w:p>
    <w:p>
      <w:pPr>
        <w:spacing w:after="160" w:before="0"/>
        <w:jc w:val="both"/>
      </w:pPr>
      <w:r>
        <w:rPr>
          <w:rFonts w:ascii="Times New Roman" w:cs="Times New Roman" w:eastAsia="Times New Roman" w:hAnsi="Times New Roman"/>
          <w:b w:val="false"/>
          <w:bCs w:val="false"/>
          <w:i w:val="false"/>
          <w:iCs w:val="false"/>
          <w:color w:val="1A202C"/>
          <w:sz w:val="20"/>
          <w:szCs w:val="20"/>
        </w:rPr>
        <w:t xml:space="preserve">Şikâyet / cayma bildirimi: ................................</w:t>
      </w:r>
    </w:p>
    <w:p>
      <w:pPr>
        <w:spacing w:before="120"/>
      </w:pPr>
      <w:r>
        <w:rPr>
          <w:rFonts w:ascii="Times New Roman" w:cs="Times New Roman" w:eastAsia="Times New Roman" w:hAnsi="Times New Roman"/>
          <w:i/>
          <w:iCs/>
          <w:color w:val="C53030"/>
          <w:sz w:val="16"/>
          <w:szCs w:val="16"/>
        </w:rPr>
        <w:t xml:space="preserve">UYARI: Bu belge genel amaçlı bir şablondur. 6502 sayılı Kanun, Mesafeli Sözleşmeler Yönetmeliği ve güncel ikincil mevzuata göre işletmenize uyarlanmalıdır. Ürün grubunuza özel cayma istisnaları, teslim süreleri ve ön bilgilendirme yükümlülükleri kontrol edilmelidir. Bağlayıcı kullanım öncesi hukuki danışmanlık alınız.</w:t>
      </w:r>
    </w:p>
    <w:sectPr>
      <w:headerReference w:type="default" r:id="rId7"/>
      <w:footerReference w:type="default" r:id="rId8"/>
      <w:pgSz w:w="11906" w:h="16838" w:orient="portrait"/>
      <w:pgMar w:top="680" w:right="800" w:bottom="68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0AEC0" w:sz="6" w:space="4"/>
      </w:pBdr>
      <w:spacing w:before="60"/>
      <w:jc w:val="center"/>
    </w:pPr>
    <w:r>
      <w:rPr>
        <w:rFonts w:ascii="Arial" w:cs="Arial" w:eastAsia="Arial" w:hAnsi="Arial"/>
        <w:color w:val="718096"/>
        <w:sz w:val="15"/>
        <w:szCs w:val="15"/>
      </w:rPr>
      <w:t xml:space="preserve">Sayfa </w:t>
    </w:r>
    <w:r>
      <w:rPr>
        <w:rFonts w:ascii="Arial" w:cs="Arial" w:eastAsia="Arial" w:hAnsi="Arial"/>
        <w:color w:val="718096"/>
        <w:sz w:val="15"/>
        <w:szCs w:val="15"/>
      </w:rPr>
      <w:fldChar w:fldCharType="begin"/>
      <w:instrText xml:space="preserve">PAGE</w:instrText>
      <w:fldChar w:fldCharType="separate"/>
      <w:fldChar w:fldCharType="end"/>
    </w:r>
    <w:r>
      <w:rPr>
        <w:rFonts w:ascii="Arial" w:cs="Arial" w:eastAsia="Arial" w:hAnsi="Arial"/>
        <w:color w:val="718096"/>
        <w:sz w:val="15"/>
        <w:szCs w:val="15"/>
      </w:rPr>
      <w:t xml:space="preserve"> / </w:t>
    </w:r>
    <w:r>
      <w:rPr>
        <w:rFonts w:ascii="Arial" w:cs="Arial" w:eastAsia="Arial" w:hAnsi="Arial"/>
        <w:color w:val="718096"/>
        <w:sz w:val="15"/>
        <w:szCs w:val="15"/>
      </w:rPr>
      <w:fldChar w:fldCharType="begin"/>
      <w:instrText xml:space="preserve">NUMPAGES</w:instrText>
      <w:fldChar w:fldCharType="separate"/>
      <w:fldChar w:fldCharType="end"/>
    </w:r>
    <w:r>
      <w:rPr>
        <w:rFonts w:ascii="Arial" w:cs="Arial" w:eastAsia="Arial" w:hAnsi="Arial"/>
        <w:i/>
        <w:iCs/>
        <w:color w:val="A0AEC0"/>
        <w:sz w:val="12"/>
        <w:szCs w:val="12"/>
      </w:rPr>
      <w:t xml:space="preserve">  ·  Şablon — 6502 sayılı Kanun / Mesafeli Sözleşmeler Yönetmeliği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365D" w:sz="10" w:space="4"/>
      </w:pBdr>
      <w:spacing w:after="80"/>
      <w:jc w:val="center"/>
    </w:pPr>
    <w:r>
      <w:rPr>
        <w:rFonts w:ascii="Arial" w:cs="Arial" w:eastAsia="Arial" w:hAnsi="Arial"/>
        <w:b/>
        <w:bCs/>
        <w:color w:val="1A365D"/>
        <w:sz w:val="17"/>
        <w:szCs w:val="17"/>
      </w:rPr>
      <w:t xml:space="preserve">MESAFELİ SATIŞ SÖZLEŞMESİ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2026-08-06T12:50:39.585Z</dcterms:created>
  <dcterms:modified xsi:type="dcterms:W3CDTF">2026-08-06T12:50:39.585Z</dcterms:modified>
</cp:coreProperties>
</file>

<file path=docProps/custom.xml><?xml version="1.0" encoding="utf-8"?>
<Properties xmlns="http://schemas.openxmlformats.org/officeDocument/2006/custom-properties" xmlns:vt="http://schemas.openxmlformats.org/officeDocument/2006/docPropsVTypes"/>
</file>